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150" w:type="dxa"/>
        <w:tblCellSpacing w:w="0" w:type="dxa"/>
        <w:tblCellMar>
          <w:left w:w="0" w:type="dxa"/>
          <w:right w:w="0" w:type="dxa"/>
        </w:tblCellMar>
        <w:tblLook w:val="04A0" w:firstRow="1" w:lastRow="0" w:firstColumn="1" w:lastColumn="0" w:noHBand="0" w:noVBand="1"/>
      </w:tblPr>
      <w:tblGrid>
        <w:gridCol w:w="1214"/>
        <w:gridCol w:w="2430"/>
        <w:gridCol w:w="1215"/>
        <w:gridCol w:w="2552"/>
        <w:gridCol w:w="1215"/>
        <w:gridCol w:w="3524"/>
      </w:tblGrid>
      <w:tr w:rsidR="006A09DE" w:rsidRPr="006A09DE" w:rsidTr="006A09DE">
        <w:trPr>
          <w:tblCellSpacing w:w="0" w:type="dxa"/>
        </w:trPr>
        <w:tc>
          <w:tcPr>
            <w:tcW w:w="500" w:type="pct"/>
            <w:hideMark/>
          </w:tcPr>
          <w:p w:rsidR="006A09DE" w:rsidRPr="006A09DE" w:rsidRDefault="006A09DE" w:rsidP="006A09DE">
            <w:pPr>
              <w:widowControl/>
              <w:spacing w:line="375" w:lineRule="atLeast"/>
              <w:jc w:val="left"/>
              <w:rPr>
                <w:rFonts w:ascii="宋体" w:eastAsia="宋体" w:hAnsi="宋体" w:cs="宋体"/>
                <w:b/>
                <w:bCs/>
                <w:color w:val="4B4B4B"/>
                <w:kern w:val="0"/>
                <w:szCs w:val="21"/>
              </w:rPr>
            </w:pPr>
            <w:r w:rsidRPr="006A09DE">
              <w:rPr>
                <w:rFonts w:ascii="宋体" w:eastAsia="宋体" w:hAnsi="宋体" w:cs="宋体" w:hint="eastAsia"/>
                <w:b/>
                <w:bCs/>
                <w:color w:val="4B4B4B"/>
                <w:kern w:val="0"/>
                <w:szCs w:val="21"/>
              </w:rPr>
              <w:t>信息名称：</w:t>
            </w:r>
          </w:p>
        </w:tc>
        <w:tc>
          <w:tcPr>
            <w:tcW w:w="0" w:type="auto"/>
            <w:gridSpan w:val="5"/>
            <w:hideMark/>
          </w:tcPr>
          <w:p w:rsidR="006A09DE" w:rsidRPr="006A09DE" w:rsidRDefault="006A09DE" w:rsidP="006A09DE">
            <w:pPr>
              <w:widowControl/>
              <w:spacing w:line="375" w:lineRule="atLeast"/>
              <w:jc w:val="left"/>
              <w:rPr>
                <w:rFonts w:ascii="宋体" w:eastAsia="宋体" w:hAnsi="宋体" w:cs="宋体" w:hint="eastAsia"/>
                <w:color w:val="4B4B4B"/>
                <w:kern w:val="0"/>
                <w:szCs w:val="21"/>
              </w:rPr>
            </w:pPr>
            <w:r w:rsidRPr="006A09DE">
              <w:rPr>
                <w:rFonts w:ascii="宋体" w:eastAsia="宋体" w:hAnsi="宋体" w:cs="宋体" w:hint="eastAsia"/>
                <w:color w:val="4B4B4B"/>
                <w:kern w:val="0"/>
                <w:szCs w:val="21"/>
              </w:rPr>
              <w:t>教育部关于印发《高等学校科学研究优秀成果奖（科学技术）奖励办法》的通知</w:t>
            </w:r>
          </w:p>
        </w:tc>
      </w:tr>
      <w:tr w:rsidR="006A09DE" w:rsidRPr="006A09DE" w:rsidTr="006A09DE">
        <w:trPr>
          <w:tblCellSpacing w:w="0" w:type="dxa"/>
        </w:trPr>
        <w:tc>
          <w:tcPr>
            <w:tcW w:w="500" w:type="pct"/>
            <w:hideMark/>
          </w:tcPr>
          <w:p w:rsidR="006A09DE" w:rsidRPr="006A09DE" w:rsidRDefault="006A09DE" w:rsidP="006A09DE">
            <w:pPr>
              <w:widowControl/>
              <w:spacing w:line="375" w:lineRule="atLeast"/>
              <w:jc w:val="left"/>
              <w:rPr>
                <w:rFonts w:ascii="宋体" w:eastAsia="宋体" w:hAnsi="宋体" w:cs="宋体" w:hint="eastAsia"/>
                <w:b/>
                <w:bCs/>
                <w:color w:val="4B4B4B"/>
                <w:kern w:val="0"/>
                <w:szCs w:val="21"/>
              </w:rPr>
            </w:pPr>
            <w:r w:rsidRPr="006A09DE">
              <w:rPr>
                <w:rFonts w:ascii="宋体" w:eastAsia="宋体" w:hAnsi="宋体" w:cs="宋体" w:hint="eastAsia"/>
                <w:b/>
                <w:bCs/>
                <w:color w:val="4B4B4B"/>
                <w:kern w:val="0"/>
                <w:szCs w:val="21"/>
              </w:rPr>
              <w:t>信息索引：</w:t>
            </w:r>
          </w:p>
        </w:tc>
        <w:tc>
          <w:tcPr>
            <w:tcW w:w="1000" w:type="pct"/>
            <w:hideMark/>
          </w:tcPr>
          <w:p w:rsidR="006A09DE" w:rsidRPr="006A09DE" w:rsidRDefault="006A09DE" w:rsidP="006A09DE">
            <w:pPr>
              <w:widowControl/>
              <w:spacing w:line="375" w:lineRule="atLeast"/>
              <w:jc w:val="left"/>
              <w:rPr>
                <w:rFonts w:ascii="宋体" w:eastAsia="宋体" w:hAnsi="宋体" w:cs="宋体" w:hint="eastAsia"/>
                <w:color w:val="4B4B4B"/>
                <w:kern w:val="0"/>
                <w:szCs w:val="21"/>
              </w:rPr>
            </w:pPr>
            <w:r w:rsidRPr="006A09DE">
              <w:rPr>
                <w:rFonts w:ascii="宋体" w:eastAsia="宋体" w:hAnsi="宋体" w:cs="宋体" w:hint="eastAsia"/>
                <w:color w:val="4B4B4B"/>
                <w:kern w:val="0"/>
                <w:szCs w:val="21"/>
              </w:rPr>
              <w:t>360A16-99-2019-0033-1</w:t>
            </w:r>
          </w:p>
        </w:tc>
        <w:tc>
          <w:tcPr>
            <w:tcW w:w="500" w:type="pct"/>
            <w:hideMark/>
          </w:tcPr>
          <w:p w:rsidR="006A09DE" w:rsidRPr="006A09DE" w:rsidRDefault="006A09DE" w:rsidP="006A09DE">
            <w:pPr>
              <w:widowControl/>
              <w:spacing w:line="375" w:lineRule="atLeast"/>
              <w:jc w:val="left"/>
              <w:rPr>
                <w:rFonts w:ascii="宋体" w:eastAsia="宋体" w:hAnsi="宋体" w:cs="宋体" w:hint="eastAsia"/>
                <w:b/>
                <w:bCs/>
                <w:color w:val="4B4B4B"/>
                <w:kern w:val="0"/>
                <w:szCs w:val="21"/>
              </w:rPr>
            </w:pPr>
            <w:r w:rsidRPr="006A09DE">
              <w:rPr>
                <w:rFonts w:ascii="宋体" w:eastAsia="宋体" w:hAnsi="宋体" w:cs="宋体" w:hint="eastAsia"/>
                <w:b/>
                <w:bCs/>
                <w:color w:val="4B4B4B"/>
                <w:kern w:val="0"/>
                <w:szCs w:val="21"/>
              </w:rPr>
              <w:t>生成日期：</w:t>
            </w:r>
          </w:p>
        </w:tc>
        <w:tc>
          <w:tcPr>
            <w:tcW w:w="1050" w:type="pct"/>
            <w:hideMark/>
          </w:tcPr>
          <w:p w:rsidR="006A09DE" w:rsidRPr="006A09DE" w:rsidRDefault="006A09DE" w:rsidP="006A09DE">
            <w:pPr>
              <w:widowControl/>
              <w:spacing w:line="375" w:lineRule="atLeast"/>
              <w:jc w:val="left"/>
              <w:rPr>
                <w:rFonts w:ascii="宋体" w:eastAsia="宋体" w:hAnsi="宋体" w:cs="宋体" w:hint="eastAsia"/>
                <w:color w:val="4B4B4B"/>
                <w:kern w:val="0"/>
                <w:szCs w:val="21"/>
              </w:rPr>
            </w:pPr>
            <w:r w:rsidRPr="006A09DE">
              <w:rPr>
                <w:rFonts w:ascii="宋体" w:eastAsia="宋体" w:hAnsi="宋体" w:cs="宋体" w:hint="eastAsia"/>
                <w:color w:val="4B4B4B"/>
                <w:kern w:val="0"/>
                <w:szCs w:val="21"/>
              </w:rPr>
              <w:t>2019-11-14</w:t>
            </w:r>
          </w:p>
        </w:tc>
        <w:tc>
          <w:tcPr>
            <w:tcW w:w="500" w:type="pct"/>
            <w:hideMark/>
          </w:tcPr>
          <w:p w:rsidR="006A09DE" w:rsidRPr="006A09DE" w:rsidRDefault="006A09DE" w:rsidP="006A09DE">
            <w:pPr>
              <w:widowControl/>
              <w:spacing w:line="375" w:lineRule="atLeast"/>
              <w:jc w:val="left"/>
              <w:rPr>
                <w:rFonts w:ascii="宋体" w:eastAsia="宋体" w:hAnsi="宋体" w:cs="宋体" w:hint="eastAsia"/>
                <w:b/>
                <w:bCs/>
                <w:color w:val="4B4B4B"/>
                <w:kern w:val="0"/>
                <w:szCs w:val="21"/>
              </w:rPr>
            </w:pPr>
            <w:r w:rsidRPr="006A09DE">
              <w:rPr>
                <w:rFonts w:ascii="宋体" w:eastAsia="宋体" w:hAnsi="宋体" w:cs="宋体" w:hint="eastAsia"/>
                <w:b/>
                <w:bCs/>
                <w:color w:val="4B4B4B"/>
                <w:kern w:val="0"/>
                <w:szCs w:val="21"/>
              </w:rPr>
              <w:t>发文机构：</w:t>
            </w:r>
          </w:p>
        </w:tc>
        <w:tc>
          <w:tcPr>
            <w:tcW w:w="1700" w:type="pct"/>
            <w:hideMark/>
          </w:tcPr>
          <w:p w:rsidR="006A09DE" w:rsidRPr="006A09DE" w:rsidRDefault="006A09DE" w:rsidP="006A09DE">
            <w:pPr>
              <w:widowControl/>
              <w:spacing w:line="375" w:lineRule="atLeast"/>
              <w:jc w:val="left"/>
              <w:rPr>
                <w:rFonts w:ascii="宋体" w:eastAsia="宋体" w:hAnsi="宋体" w:cs="宋体" w:hint="eastAsia"/>
                <w:color w:val="4B4B4B"/>
                <w:kern w:val="0"/>
                <w:szCs w:val="21"/>
              </w:rPr>
            </w:pPr>
            <w:r w:rsidRPr="006A09DE">
              <w:rPr>
                <w:rFonts w:ascii="宋体" w:eastAsia="宋体" w:hAnsi="宋体" w:cs="宋体" w:hint="eastAsia"/>
                <w:color w:val="4B4B4B"/>
                <w:kern w:val="0"/>
                <w:szCs w:val="21"/>
              </w:rPr>
              <w:t>中华人民共和国教育部</w:t>
            </w:r>
          </w:p>
        </w:tc>
      </w:tr>
      <w:tr w:rsidR="006A09DE" w:rsidRPr="006A09DE" w:rsidTr="006A09DE">
        <w:trPr>
          <w:tblCellSpacing w:w="0" w:type="dxa"/>
        </w:trPr>
        <w:tc>
          <w:tcPr>
            <w:tcW w:w="500" w:type="pct"/>
            <w:hideMark/>
          </w:tcPr>
          <w:p w:rsidR="006A09DE" w:rsidRPr="006A09DE" w:rsidRDefault="006A09DE" w:rsidP="006A09DE">
            <w:pPr>
              <w:widowControl/>
              <w:spacing w:line="375" w:lineRule="atLeast"/>
              <w:jc w:val="left"/>
              <w:rPr>
                <w:rFonts w:ascii="宋体" w:eastAsia="宋体" w:hAnsi="宋体" w:cs="宋体" w:hint="eastAsia"/>
                <w:b/>
                <w:bCs/>
                <w:color w:val="4B4B4B"/>
                <w:kern w:val="0"/>
                <w:szCs w:val="21"/>
              </w:rPr>
            </w:pPr>
            <w:r w:rsidRPr="006A09DE">
              <w:rPr>
                <w:rFonts w:ascii="宋体" w:eastAsia="宋体" w:hAnsi="宋体" w:cs="宋体" w:hint="eastAsia"/>
                <w:b/>
                <w:bCs/>
                <w:color w:val="4B4B4B"/>
                <w:kern w:val="0"/>
                <w:szCs w:val="21"/>
              </w:rPr>
              <w:t>发文字号：</w:t>
            </w:r>
          </w:p>
        </w:tc>
        <w:tc>
          <w:tcPr>
            <w:tcW w:w="0" w:type="auto"/>
            <w:hideMark/>
          </w:tcPr>
          <w:p w:rsidR="006A09DE" w:rsidRPr="006A09DE" w:rsidRDefault="006A09DE" w:rsidP="006A09DE">
            <w:pPr>
              <w:widowControl/>
              <w:spacing w:line="375" w:lineRule="atLeast"/>
              <w:jc w:val="left"/>
              <w:rPr>
                <w:rFonts w:ascii="宋体" w:eastAsia="宋体" w:hAnsi="宋体" w:cs="宋体" w:hint="eastAsia"/>
                <w:color w:val="4B4B4B"/>
                <w:kern w:val="0"/>
                <w:szCs w:val="21"/>
              </w:rPr>
            </w:pPr>
            <w:r w:rsidRPr="006A09DE">
              <w:rPr>
                <w:rFonts w:ascii="宋体" w:eastAsia="宋体" w:hAnsi="宋体" w:cs="宋体" w:hint="eastAsia"/>
                <w:color w:val="4B4B4B"/>
                <w:kern w:val="0"/>
                <w:szCs w:val="21"/>
              </w:rPr>
              <w:t>教技〔2019〕3号</w:t>
            </w:r>
          </w:p>
        </w:tc>
        <w:tc>
          <w:tcPr>
            <w:tcW w:w="500" w:type="pct"/>
            <w:hideMark/>
          </w:tcPr>
          <w:p w:rsidR="006A09DE" w:rsidRPr="006A09DE" w:rsidRDefault="006A09DE" w:rsidP="006A09DE">
            <w:pPr>
              <w:widowControl/>
              <w:spacing w:line="375" w:lineRule="atLeast"/>
              <w:jc w:val="left"/>
              <w:rPr>
                <w:rFonts w:ascii="宋体" w:eastAsia="宋体" w:hAnsi="宋体" w:cs="宋体" w:hint="eastAsia"/>
                <w:b/>
                <w:bCs/>
                <w:color w:val="4B4B4B"/>
                <w:kern w:val="0"/>
                <w:szCs w:val="21"/>
              </w:rPr>
            </w:pPr>
            <w:r w:rsidRPr="006A09DE">
              <w:rPr>
                <w:rFonts w:ascii="宋体" w:eastAsia="宋体" w:hAnsi="宋体" w:cs="宋体" w:hint="eastAsia"/>
                <w:b/>
                <w:bCs/>
                <w:color w:val="4B4B4B"/>
                <w:kern w:val="0"/>
                <w:szCs w:val="21"/>
              </w:rPr>
              <w:t>信息类别：</w:t>
            </w:r>
          </w:p>
        </w:tc>
        <w:tc>
          <w:tcPr>
            <w:tcW w:w="0" w:type="auto"/>
            <w:gridSpan w:val="3"/>
            <w:hideMark/>
          </w:tcPr>
          <w:p w:rsidR="006A09DE" w:rsidRPr="006A09DE" w:rsidRDefault="006A09DE" w:rsidP="006A09DE">
            <w:pPr>
              <w:widowControl/>
              <w:spacing w:line="375" w:lineRule="atLeast"/>
              <w:jc w:val="left"/>
              <w:rPr>
                <w:rFonts w:ascii="宋体" w:eastAsia="宋体" w:hAnsi="宋体" w:cs="宋体" w:hint="eastAsia"/>
                <w:color w:val="4B4B4B"/>
                <w:kern w:val="0"/>
                <w:szCs w:val="21"/>
              </w:rPr>
            </w:pPr>
            <w:r w:rsidRPr="006A09DE">
              <w:rPr>
                <w:rFonts w:ascii="宋体" w:eastAsia="宋体" w:hAnsi="宋体" w:cs="宋体" w:hint="eastAsia"/>
                <w:color w:val="4B4B4B"/>
                <w:kern w:val="0"/>
                <w:szCs w:val="21"/>
              </w:rPr>
              <w:t>其他</w:t>
            </w:r>
          </w:p>
        </w:tc>
      </w:tr>
      <w:tr w:rsidR="006A09DE" w:rsidRPr="006A09DE" w:rsidTr="006A09DE">
        <w:trPr>
          <w:tblCellSpacing w:w="0" w:type="dxa"/>
        </w:trPr>
        <w:tc>
          <w:tcPr>
            <w:tcW w:w="500" w:type="pct"/>
            <w:hideMark/>
          </w:tcPr>
          <w:p w:rsidR="006A09DE" w:rsidRPr="006A09DE" w:rsidRDefault="006A09DE" w:rsidP="006A09DE">
            <w:pPr>
              <w:widowControl/>
              <w:spacing w:line="375" w:lineRule="atLeast"/>
              <w:jc w:val="left"/>
              <w:rPr>
                <w:rFonts w:ascii="宋体" w:eastAsia="宋体" w:hAnsi="宋体" w:cs="宋体" w:hint="eastAsia"/>
                <w:b/>
                <w:bCs/>
                <w:color w:val="4B4B4B"/>
                <w:kern w:val="0"/>
                <w:szCs w:val="21"/>
              </w:rPr>
            </w:pPr>
            <w:r w:rsidRPr="006A09DE">
              <w:rPr>
                <w:rFonts w:ascii="宋体" w:eastAsia="宋体" w:hAnsi="宋体" w:cs="宋体" w:hint="eastAsia"/>
                <w:b/>
                <w:bCs/>
                <w:color w:val="4B4B4B"/>
                <w:kern w:val="0"/>
                <w:szCs w:val="21"/>
              </w:rPr>
              <w:t>内容概述：</w:t>
            </w:r>
          </w:p>
        </w:tc>
        <w:tc>
          <w:tcPr>
            <w:tcW w:w="0" w:type="auto"/>
            <w:gridSpan w:val="5"/>
            <w:hideMark/>
          </w:tcPr>
          <w:p w:rsidR="006A09DE" w:rsidRPr="006A09DE" w:rsidRDefault="006A09DE" w:rsidP="006A09DE">
            <w:pPr>
              <w:widowControl/>
              <w:spacing w:line="375" w:lineRule="atLeast"/>
              <w:jc w:val="left"/>
              <w:rPr>
                <w:rFonts w:ascii="宋体" w:eastAsia="宋体" w:hAnsi="宋体" w:cs="宋体" w:hint="eastAsia"/>
                <w:color w:val="4B4B4B"/>
                <w:kern w:val="0"/>
                <w:szCs w:val="21"/>
              </w:rPr>
            </w:pPr>
            <w:r w:rsidRPr="006A09DE">
              <w:rPr>
                <w:rFonts w:ascii="宋体" w:eastAsia="宋体" w:hAnsi="宋体" w:cs="宋体" w:hint="eastAsia"/>
                <w:color w:val="4B4B4B"/>
                <w:kern w:val="0"/>
                <w:szCs w:val="21"/>
              </w:rPr>
              <w:t>教育部印发《高等学校科学研究优秀成果奖（科学技术）奖励办法》。</w:t>
            </w:r>
          </w:p>
        </w:tc>
      </w:tr>
    </w:tbl>
    <w:p w:rsidR="006A09DE" w:rsidRPr="006A09DE" w:rsidRDefault="006A09DE" w:rsidP="006A09DE">
      <w:pPr>
        <w:widowControl/>
        <w:shd w:val="clear" w:color="auto" w:fill="FFFFFF"/>
        <w:jc w:val="left"/>
        <w:rPr>
          <w:rFonts w:ascii="微软雅黑" w:eastAsia="微软雅黑" w:hAnsi="微软雅黑" w:cs="宋体" w:hint="eastAsia"/>
          <w:vanish/>
          <w:kern w:val="0"/>
          <w:sz w:val="24"/>
          <w:szCs w:val="24"/>
        </w:rPr>
      </w:pPr>
      <w:r w:rsidRPr="006A09DE">
        <w:rPr>
          <w:rFonts w:ascii="微软雅黑" w:eastAsia="微软雅黑" w:hAnsi="微软雅黑" w:cs="宋体" w:hint="eastAsia"/>
          <w:vanish/>
          <w:kern w:val="0"/>
          <w:sz w:val="24"/>
          <w:szCs w:val="24"/>
        </w:rPr>
        <w:t>信息公开_部文</w:t>
      </w:r>
    </w:p>
    <w:p w:rsidR="006A09DE" w:rsidRPr="006A09DE" w:rsidRDefault="006A09DE" w:rsidP="006A09DE">
      <w:pPr>
        <w:widowControl/>
        <w:shd w:val="clear" w:color="auto" w:fill="FFFFFF"/>
        <w:spacing w:before="100" w:beforeAutospacing="1" w:after="100" w:afterAutospacing="1"/>
        <w:jc w:val="center"/>
        <w:outlineLvl w:val="1"/>
        <w:rPr>
          <w:rFonts w:ascii="微软雅黑" w:eastAsia="微软雅黑" w:hAnsi="微软雅黑" w:cs="宋体" w:hint="eastAsia"/>
          <w:b/>
          <w:bCs/>
          <w:color w:val="4B4B4B"/>
          <w:kern w:val="36"/>
          <w:sz w:val="30"/>
          <w:szCs w:val="30"/>
        </w:rPr>
      </w:pPr>
      <w:r w:rsidRPr="006A09DE">
        <w:rPr>
          <w:rFonts w:ascii="微软雅黑" w:eastAsia="微软雅黑" w:hAnsi="微软雅黑" w:cs="宋体" w:hint="eastAsia"/>
          <w:b/>
          <w:bCs/>
          <w:color w:val="4B4B4B"/>
          <w:kern w:val="36"/>
          <w:sz w:val="30"/>
          <w:szCs w:val="30"/>
        </w:rPr>
        <w:t>教育部关于印发《高等学校科学研究优秀成果奖</w:t>
      </w:r>
      <w:r w:rsidRPr="006A09DE">
        <w:rPr>
          <w:rFonts w:ascii="微软雅黑" w:eastAsia="微软雅黑" w:hAnsi="微软雅黑" w:cs="宋体" w:hint="eastAsia"/>
          <w:b/>
          <w:bCs/>
          <w:color w:val="4B4B4B"/>
          <w:kern w:val="36"/>
          <w:sz w:val="30"/>
          <w:szCs w:val="30"/>
        </w:rPr>
        <w:br/>
        <w:t>（科学技术）奖励办法》的通知</w:t>
      </w:r>
    </w:p>
    <w:p w:rsidR="006A09DE" w:rsidRPr="006A09DE" w:rsidRDefault="006A09DE" w:rsidP="006A09DE">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教技〔2019〕3号</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各省、自治区、直辖市教育厅（教委），新疆生产建设兵团教育局，有关部门（单位）教育司（局），部属各高等学校、部省合建各高等学校：</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为深入学习贯彻习近平新时代中国特色社会主义思想和党的十九大精神，大力实施科教兴国战略、人才强国战略和创新驱动发展战略，促进高等学校科技创新，支撑高质量人才培养，我部对2015年2月印发的《高等学校科学研究优秀成果奖（科学技术）奖励办法》进行了修订。</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现将修订后的《高等学校科学研究优秀成果奖（科学技术）奖励办法》印发给你们，请遵照执行。</w:t>
      </w:r>
    </w:p>
    <w:p w:rsidR="006A09DE" w:rsidRPr="006A09DE" w:rsidRDefault="006A09DE" w:rsidP="006A09DE">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教育部</w:t>
      </w:r>
    </w:p>
    <w:p w:rsidR="006A09DE" w:rsidRPr="006A09DE" w:rsidRDefault="006A09DE" w:rsidP="006A09DE">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2019年11月7日</w:t>
      </w:r>
    </w:p>
    <w:p w:rsidR="006A09DE" w:rsidRPr="006A09DE" w:rsidRDefault="006A09DE" w:rsidP="006A09DE">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b/>
          <w:bCs/>
          <w:color w:val="4B4B4B"/>
          <w:kern w:val="0"/>
          <w:sz w:val="24"/>
          <w:szCs w:val="24"/>
        </w:rPr>
        <w:t xml:space="preserve">高等学校科学研究优秀成果奖 </w:t>
      </w:r>
    </w:p>
    <w:p w:rsidR="006A09DE" w:rsidRPr="006A09DE" w:rsidRDefault="006A09DE" w:rsidP="006A09DE">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b/>
          <w:bCs/>
          <w:color w:val="4B4B4B"/>
          <w:kern w:val="0"/>
          <w:sz w:val="24"/>
          <w:szCs w:val="24"/>
        </w:rPr>
        <w:t>（科学技术）奖励办法</w:t>
      </w:r>
    </w:p>
    <w:p w:rsidR="006A09DE" w:rsidRPr="006A09DE" w:rsidRDefault="006A09DE" w:rsidP="006A09DE">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b/>
          <w:bCs/>
          <w:color w:val="4B4B4B"/>
          <w:kern w:val="0"/>
          <w:sz w:val="24"/>
          <w:szCs w:val="24"/>
        </w:rPr>
        <w:lastRenderedPageBreak/>
        <w:t>第一章 总 则</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第一条 为鼓励高等学校教师和科技工作者围绕国家战略需求、经济社会发展需要与世界科技前沿开展科技创新和成果转化，推动高等学校创新人才培养，根据《国家科学技术奖励条例》，结合高等学校实际情况，教育部设立高等学校科学研究优秀成果奖（科学技术）。 </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第二条 高等学校科学研究优秀成果奖（科学技术）奖励在开展科技创新、成果转化并在创新人才培养中作出突出贡献的高等学校教师、科技工作者和相关单位。</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第三条 高等学校科学研究优秀成果奖（科学技术）设立下列奖项：</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（一）自然科学奖；</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（二）技术发明奖；</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（三）科学技术进步奖；</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（四）青年科学奖。</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第四条 高等学校科学研究优秀成果奖（科学技术）评审工作遵循公开、公平、公正原则，实行科学的评审制度，不受任何组织或者个人的非法干涉。</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第五条 高等学校科学研究优秀成果奖（科学技术）实行提名制，每年提名、评审一次。</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lastRenderedPageBreak/>
        <w:t xml:space="preserve">　　第六条 教育部设立高等学校科学研究优秀成果奖（科学技术）工作办公室（以下简称奖励工作办公室），负责奖励管理、评审组织等工作。奖励工作办公室设在教育部科学技术司。</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第七条 奖励工作办公室根据每年提名项目的学科分布等具体情况，聘请相关学科领域学术造诣高、学风端正的专家组成高等学校科学研究优秀成果奖（科学技术）评审委员会（以下简称评审委员会）。</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评审委员会主要职责：</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（一）对高等学校科学研究优秀成果奖（科学技术）候选项目和候选人进行评审，提出一等奖、二等奖候选项目和青年科学奖候选人建议；</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（二）根据一等奖候选项目成果水平，提出特等奖候选项目建议；</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（三）对评审工作中出现的有关问题进行处理。</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第八条 教育部设立高等学校科学研究优秀成果奖（科学技术）奖励委员会（以下简称奖励委员会），委员由相关领域、行业及部门专家担任。奖励委员会委员实行任期聘任制，每届20—30人，任期3年，任期届满进行换届，每次换届人数不低于总人数的1/3，原则上不得连任3届以上。</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奖励委员会主要职责：</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（一）审定评审委员会提出的特等奖候选项目和青年科学奖候选人建议；</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（二）审定评审委员会提出的一等奖、二等奖候选项目建议；</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lastRenderedPageBreak/>
        <w:t xml:space="preserve">　　（三）对奖励工作提供政策性意见和建议。</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奖励委员会的审定结果报教育部批准。</w:t>
      </w:r>
    </w:p>
    <w:p w:rsidR="006A09DE" w:rsidRPr="006A09DE" w:rsidRDefault="006A09DE" w:rsidP="006A09DE">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b/>
          <w:bCs/>
          <w:color w:val="4B4B4B"/>
          <w:kern w:val="0"/>
          <w:sz w:val="24"/>
          <w:szCs w:val="24"/>
        </w:rPr>
        <w:t>第二章 评定条件</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第九条 高等学校科学研究优秀成果奖（科学技术）候选项目第一完成单位应为国内高校。青年科学奖候选人应为长期在国内高校工作的青年教师。</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第十条 自然科学奖授予在基础研究和应用基础研究中作出重要科学发现的个人和单位。</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重要科学发现应同时具备下列条件：</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（一）前人尚未发现或者尚未阐明。指该项自然科学发现为国内外首次提出，或者其科学理论在国内外首次阐明，且主要论著为国内外首次发表。</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二）具有重大科学价值。指在学术上处于国际同类研究领先或者先进水平，并在科学理论、学说上有创见，在研究方法、手段上有创新，以及在基础数据的收集和综合分析上有创造性和系统性贡献；并对科学技术的发展有重要意义，或者对经济建设和社会发展具有重要影响。</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三）得到国内外科学界公认。指主要论著已在国内外公开发行的学术刊物上发表或者作为学术专著出版2年以上，其重要科学结论已被国内外同行在重要国际学术会议、公开发行的学术刊物，尤其是重要学术刊物以及学术专著所正面引用或者应用。</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lastRenderedPageBreak/>
        <w:t xml:space="preserve">　　第十一条 自然科学奖的主要完成人必须是该项自然科学发现代表论著的作者，并具备下列条件之一：</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（一）提出总体学术思想、研究方案；</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（二）发现重要科学现象、特性和规律，并阐明科学理论和学说；</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（三）提出研究方法和手段，解决关键性学术疑难问题或者实验技术难点，以及对重要基础数据进行系统收集和综合分析等。</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第十二条 自然科学奖的主要完成单位是指在该项自然科学发现的研究过程中，提供技术、经费或设备等条件，对该项自然科学发现的研究起到重要作用的单位，一般为主要完成人在完成该项自然科学发现时的所在单位。</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第十三条 技术发明奖授予在运用科学技术知识做出产品、工艺、材料及其系统等重要技术发明的个人和单位。</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重要技术发明应同时具备下列条件：</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（一）前人尚未发明或尚未公开。指该项技术发明为国内外首创，或者虽然国内外已有但主要技术内容尚未在国内外公开出版物、媒体及各种公众信息渠道上发表或者公开，也未曾公开使用。</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二）具有先进性和创造性。指该项技术发明与国内外已有同类技术相比较，其技术构思有实质性显著的进步，主要性能（性状）、技术经济指标、科学技术水平及其促进科学技术进步的作用和意义等方面综合优于同类技术。</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lastRenderedPageBreak/>
        <w:t xml:space="preserve">　　（三）经实施，创造显著经济效益或社会效益，或具有明显的应用前景。指该项技术发明成熟，并实施应用2年以上，取得良好效果。直接关系到人身和社会安全的技术发明成果，如动植物新品种、药品、食品、基因工程技术等，在获得行政机关审批之后方可提名。</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第十四条 技术发明奖的主要完成人应当具备下列条件之一：</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（一）在完成该项技术发明过程中作出重要贡献，是全部或部分创造性技术内容的独立完成人；</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（二）在实施该项技术发明中作出重要贡献。</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第十五条 技术发明奖的主要完成单位是指对该项技术发明的完成起重要作用或实施该发明技术的单位，一般为主要完成人完成该项技术发明时所在的单位。</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第十六条 科学技术进步奖授予在推广应用先进科学技术成果、完成重要科学技术工程计划项目等方面作出创造性贡献，或在推进国防现代化建设、保障国家安全方面作出重大科学技术贡献的个人和单位。</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科学技术进步奖的成果应同时具备下列条件：</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一）技术创新性突出，技术经济指标先进。在技术上有创新，特别是在高新技术领域进行自主创新，形成了产业的主导技术和成熟产品，或者应用高新技术对传统产业进行装备和改造，通过技术创新，提升传统产业，增加行业</w:t>
      </w:r>
      <w:r w:rsidRPr="006A09DE">
        <w:rPr>
          <w:rFonts w:ascii="微软雅黑" w:eastAsia="微软雅黑" w:hAnsi="微软雅黑" w:cs="宋体" w:hint="eastAsia"/>
          <w:color w:val="4B4B4B"/>
          <w:kern w:val="0"/>
          <w:sz w:val="24"/>
          <w:szCs w:val="24"/>
        </w:rPr>
        <w:lastRenderedPageBreak/>
        <w:t>的技术含量；技术难度较大，解决了行业发展中的热点、难点和关键问题；总体技术水平和主要技术经济指标达到了行业领先水平。</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二）经转化，经济效益或者社会效益显著。所开发的成果经过2年以上的实施应用，产生了明显的经济效益或者社会效益，实现了技术创新的市场价值或者社会价值，为经济建设、社会发展和国家安全作出了很大贡献。</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三）推动行业科技进步作用明显。成果的转化程度高，具有较强的示范、带动和扩散能力，提高了行业技术水平、竞争能力和系统创新能力，促进了产业结构的调整、优化、升级及产品的更新换代，对行业的发展具有很大作用。</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第十七条 科学技术进步奖的主要完成人应当具备下列条件之一：</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（一）在提出和确定项目的总体技术方案中作出重要贡献；</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（二）在关键技术和疑难问题的解决中作出重要贡献；</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（三）在成果转化和应用推广过程中作出重要贡献；</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（四）在高新技术产业化的技术实施过程中作出重要贡献。</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第十八条 科学技术进步奖的主要完成单位是指在项目研制、开发、投产应用和推广过程中提供技术、设备和人员等条件，对成果的完成起到重要作用的单位，一般为主要完成人完成该成果时所在的单位。行政管理部门一般不得作为主要完成单位。</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lastRenderedPageBreak/>
        <w:t xml:space="preserve">　　第十九条 青年科学奖授予已经取得突出原创性学术成果、具有赶超或保持国际先进水平能力的青年学者。青年科学奖候选人应同时符合下列条件：</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（一）为在校青年教师，在国内高校连续工作3年以上，被提名当年未满40周岁（至1月1日）；</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（二）长期从事科技创新，并取得了有较大影响的原创性成果；</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（三）具备勇于创新的科学精神、良好的科学道德、扎实的学术素养和高尚的师德风尚；</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（四）潜心研究工作，积极开展人才培养，具有独立开展研究的能力与较强的科研发展潜力。</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第二十条 高等学校科学研究优秀成果奖（科学技术）坚持科技贡献为科技成果评价的主要依据，同时充分考虑科技成果在提高人才培养和教学质量，以及科学普及、师德风尚等方面所发挥的作用。在科技成果水平基本一致的情况下，对同时在教书育人或科学普及方面也作出贡献的教师和科技工作者取得的成果给予优先奖励。</w:t>
      </w:r>
    </w:p>
    <w:p w:rsidR="006A09DE" w:rsidRPr="006A09DE" w:rsidRDefault="006A09DE" w:rsidP="006A09DE">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b/>
          <w:bCs/>
          <w:color w:val="4B4B4B"/>
          <w:kern w:val="0"/>
          <w:sz w:val="24"/>
          <w:szCs w:val="24"/>
        </w:rPr>
        <w:t>第三章提名、评审和授予</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第二十一条 高等学校科学研究优秀成果奖（科学技术）实行定标定额。自然科学奖、技术发明奖、科学技术进步奖设一等奖、二等奖，对于特别优秀的成果可授予特等奖。青年科学奖不设等级。高等学校科学研究优秀成果奖（科学技术）每年奖励总数不超过310项。</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lastRenderedPageBreak/>
        <w:t xml:space="preserve">　　第二十二条 高等学校科学研究优秀成果奖（科学技术）自然科学奖、技术发明奖、科学技术进步奖候选项目由相关单位或专家按以下程序向奖励工作办公室提名：</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（一）中央部委所属高等学校的各类成果，可由学校直接提名；</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（二）地方高等学校的各类成果，可由省、自治区、直辖市教育厅（教委）提名；</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（三）三名及以上中国科学院院士、中国工程院院士可联合提名。</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第二十三条 青年科学奖候选人由以下单位或专家向奖励工作办公室提名：</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（一）教育部科学技术委员会各学部；</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（二）中国科协所属的有关全国学会；</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（三）有关高等学校校长；</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（四）中国科学院院士、中国工程院院士（三名及以上联合提名）。</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第二十四条 候选项目有下列情形之一的，不得提名高等学校科学研究优秀成果奖（科学技术）：</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（一）相关成果已获得或正在申报国家级、省部级科学技术奖的；</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（二）相关成果在知识产权归属以及完成单位、完成人署名等方面存在争议，尚未解决的；</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lastRenderedPageBreak/>
        <w:t xml:space="preserve">　　（三）相关技术内容依照有关法律、法规规定必须取得有关许可证，或直接关系到人身和社会安全、公共利益的项目，尚未获得行政主管部门批准的；</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（四）相关成果经评审未授奖且无实质性进展的。</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第二十五条 高等学校科学研究优秀成果奖（科学技术）获奖项目完成人，获奖后须间隔一定年份后方可作为提名项目的完成人，同一人同一年度只能作为一个候选项目的完成人。</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第二十六条 提名单位或专家应按规定的统一格式填写候选项目或候选人提名书，并提供真实、准确的证明材料，报送奖励工作办公室。</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第二十七条 奖励工作办公室负责对提名书及相关材料进行形式审查。</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第二十八条 评审委员会对候选项目和候选人进行评审，并根据评审结果向奖励委员会提出授奖建议。</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第二十九条 奖励委员会对评审委员会的授奖建议进行审定，作出授奖决议。</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第三十条 奖励委员会作出的授奖决议报教育部批准。教育部对获奖个人和单位授奖，并颁发证书。</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第三十一条 高等学校科学研究优秀成果奖（科学技术）提名和评审的规则、程序和结果等信息按程序向社会公布，接受社会监督。</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lastRenderedPageBreak/>
        <w:t xml:space="preserve">　　涉及国防、国家安全方面的成果，应当严格遵守国家保密法律法规的有关规定，加强保密管理，在适当范围内公布。</w:t>
      </w:r>
    </w:p>
    <w:p w:rsidR="006A09DE" w:rsidRPr="006A09DE" w:rsidRDefault="006A09DE" w:rsidP="006A09DE">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b/>
          <w:bCs/>
          <w:color w:val="4B4B4B"/>
          <w:kern w:val="0"/>
          <w:sz w:val="24"/>
          <w:szCs w:val="24"/>
        </w:rPr>
        <w:t xml:space="preserve">第四章 评定标准 </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第三十二条 自然科学奖的评定标准如下：</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一）在科学上取得突破性进展，发现的科学现象、揭示的科学规律、提出的学术观点或研究方法为国内外学术界所公认和广泛引用，推动了本学科或其分支学科或相关学科的发展，或者对经济建设、社会发展有重大影响的，可评为一等奖；</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二）在科学上取得重要进展，发现的科学现象、揭示的科学规律、提出的学术观点或研究方法为国内外学术界所公认和引用，推动了本学科或者其分支学科的发展，或者对经济建设、社会发展有较大影响的，可评为二等奖；</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（三）对于原始性创新特别突出、具有特别重大科学价值、在国际相关学术领域中具有引领作用、在国内外具有重大影响的特别重大的科学发现，可评为特等奖。</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第三十三条 技术发明奖的评定标准如下：</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一）属国内外首创的重要技术发明，技术思路独特，技术上有很大的创新，技术经济指标达到了国际同类技术的领先水平，推动了相关领域的技术进步，已产生显著的经济效益或者社会效益或具有显著的应用前景，可评为一等奖；</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lastRenderedPageBreak/>
        <w:t xml:space="preserve">　　（二）属国内外首创，或者国内外已有但尚未公开的主要技术发明，技术思路新颖，技术上有较大的创新，技术经济指标达到了国际同类技术的先进水平，对本领域的技术进步有推动作用，并产生了明显的经济效益、社会效益或具有明显的应用前景，可评为二等奖；</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（三）对原始性创新特别突出、主要技术经济指标显著优于国内外同类技术或者产品，并取得重大经济或者社会效益的特别重大的技术发明，可评为特等奖。</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第三十四条 科学技术进步奖从技术开发、社会公益、国家安全三个方面制定评定标准，分别为：</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一）技术开发：在关键技术和系统集成上有重要创新，技术难度大，总体技术水平和主要技术经济指标达到了国际同类技术的先进水平，市场竞争力强，成果转化程度高，取得了显著的经济效益，对行业的技术进步和产业结构优化升级有很大作用的，可评为一等奖；在关键技术和系统集成上有较大创新，技术难度较大，总体技术水平和主要技术经济指标达到了国内同类技术的领先水平，并接近国际同类技术的先进水平，市场竞争力较强，成果转化程度较高，取得了明显的经济效益，对行业的技术进步和产业结构调整有较大意义的，可评为二等奖。</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二）社会公益：在关键技术和系统集成上有重要创新，技术难度大，总体技术水平和主要技术指标达到了国际同类技术的先进水平，并在行业得到广泛应用，取得了显著的社会效益，对科技发展和社会进步有很大意义的，可评</w:t>
      </w:r>
      <w:r w:rsidRPr="006A09DE">
        <w:rPr>
          <w:rFonts w:ascii="微软雅黑" w:eastAsia="微软雅黑" w:hAnsi="微软雅黑" w:cs="宋体" w:hint="eastAsia"/>
          <w:color w:val="4B4B4B"/>
          <w:kern w:val="0"/>
          <w:sz w:val="24"/>
          <w:szCs w:val="24"/>
        </w:rPr>
        <w:lastRenderedPageBreak/>
        <w:t>为一等奖；在关键技术和系统集成上有较大创新，技术难度较大，总体技术水平和主要技术指标达到了国内同类技术的领先水平，并接近国际同类技术的先进水平，在行业较大范围应用，取得了明显的社会效益，对科技发展和社会进步有较大意义的，可评为二等奖。</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三）国家安全：在关键技术和系统集成上有重要创新，技术难度大，总体技术达到国际同类技术的先进水平，应用效果突出，对国防建设和保障国家安全具有很大作用的，可评为一等奖；在关键技术和系统集成上有较大创新，技术难度较大，总体技术达到国内同类技术的领先水平，并接近国际同类技术的先进水平，应用效果突出，对国防建设和保障国家安全有较大作用的，可评为二等奖。</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对于技术创新性特别突出、经济效益或者社会效益特别显著、推动行业科技进步特别明显的项目，可评为特等奖。</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第三十五条 青年科学奖的评定标准如下：</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（一）致力于科技前沿，独立开展研究工作，创新能力强，学风严谨，作风扎实；</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（二）取得重大原创性成果，产生了显著的国际学术影响，推动经济社会发展，在国内同领域同龄人中学术水平居于前列；</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（三）学术思想活跃，具有很好的学术发展前景；</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（四）坚持立德树人，积极开展人才培养，并取得显著成绩。</w:t>
      </w:r>
    </w:p>
    <w:p w:rsidR="006A09DE" w:rsidRPr="006A09DE" w:rsidRDefault="006A09DE" w:rsidP="006A09DE">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b/>
          <w:bCs/>
          <w:color w:val="4B4B4B"/>
          <w:kern w:val="0"/>
          <w:sz w:val="24"/>
          <w:szCs w:val="24"/>
        </w:rPr>
        <w:lastRenderedPageBreak/>
        <w:t>第五章 异议处理</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第三十六条 高等学校科学研究优秀成果奖（科学技术）接受社会监督，实行异议处理制度。任何单位或个人对公示的候选项目和候选人如有异议，在规定的公示期内可向异议受理部门书面提出。逾期提出的异议原则上不予受理。</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第三十七条 提名项目正式报送奖励工作办公室前提出的异议，由提名单位或专家处理。提名项目通过形式审查后提出的异议，由奖励工作办公室会同有关提名单位或者提名专家共同处理。涉及国家安全成果的异议，由奖励工作办公室会同有关部门处理。</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第三十八条 涉及异议的任何一方应当积极配合异议处理单位和人员对异议进行处理，不得推诿或延误。</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第三十九条 参加处理异议问题的单位和人员，应当依法依规、客观公正，并严守秘密。</w:t>
      </w:r>
    </w:p>
    <w:p w:rsidR="006A09DE" w:rsidRPr="006A09DE" w:rsidRDefault="006A09DE" w:rsidP="006A09DE">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b/>
          <w:bCs/>
          <w:color w:val="4B4B4B"/>
          <w:kern w:val="0"/>
          <w:sz w:val="24"/>
          <w:szCs w:val="24"/>
        </w:rPr>
        <w:t xml:space="preserve">第六章 罚则 </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第四十条 获奖者剽窃、侵夺他人的发现、发明或者其他科学技术成果的，或者以其他不正当手段骗取高等学校科学研究优秀成果奖（科学技术）的，由教育部撤销其奖励、追回证书等，并责成所在单位依法依规给予处理。</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第四十一条 提名单位或专家提供虚假数据、材料，协助他人骗取高等学校科学研究优秀成果奖（科学技术）的，教育部视情节轻重予以公开通报、暂停</w:t>
      </w:r>
      <w:r w:rsidRPr="006A09DE">
        <w:rPr>
          <w:rFonts w:ascii="微软雅黑" w:eastAsia="微软雅黑" w:hAnsi="微软雅黑" w:cs="宋体" w:hint="eastAsia"/>
          <w:color w:val="4B4B4B"/>
          <w:kern w:val="0"/>
          <w:sz w:val="24"/>
          <w:szCs w:val="24"/>
        </w:rPr>
        <w:lastRenderedPageBreak/>
        <w:t>或者取消提名资格等处理，并记录不良信誉，责成所在单位依法依规给予处理。</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第四十二条 评审专家存在违反学术道德和评审纪律等行为的，按照有关规定给予内部或公开通报、暂停或者取消评审专家资格等处理，并记录不良信誉。情节严重的，责成所在单位依法依规给予处理。</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第四十三条 参与高等学校科学研究优秀成果奖（科学技术）评审组织工作的人员在评审活动中存在违规违纪行为的，责成所在单位依法依规给予处理。</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第四十四条 对高等学校科学研究优秀成果奖（科学技术）获奖成果的宣传应当客观、准确，关注科学技术本身，不得以夸大、虚假、模糊宣传误导公众。不得在商业广告中将商品或服务表述为高等学校科学研究优秀成果奖（科学技术）的获奖对象。</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禁止利用高等学校科学研究优秀成果奖（科学技术）提名和评审相关信息，进行各类营销、中介、代理等营利性活动。</w:t>
      </w:r>
    </w:p>
    <w:p w:rsidR="006A09DE" w:rsidRPr="006A09DE" w:rsidRDefault="006A09DE" w:rsidP="006A09DE">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b/>
          <w:bCs/>
          <w:color w:val="4B4B4B"/>
          <w:kern w:val="0"/>
          <w:sz w:val="24"/>
          <w:szCs w:val="24"/>
        </w:rPr>
        <w:t>第七章 附 则</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第四十五条 本办法由教育部负责解释。</w:t>
      </w:r>
    </w:p>
    <w:p w:rsidR="006A09DE" w:rsidRPr="006A09DE" w:rsidRDefault="006A09DE" w:rsidP="006A09DE">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A09DE">
        <w:rPr>
          <w:rFonts w:ascii="微软雅黑" w:eastAsia="微软雅黑" w:hAnsi="微软雅黑" w:cs="宋体" w:hint="eastAsia"/>
          <w:color w:val="4B4B4B"/>
          <w:kern w:val="0"/>
          <w:sz w:val="24"/>
          <w:szCs w:val="24"/>
        </w:rPr>
        <w:t xml:space="preserve">　　第四十六条 本办法自2020年1月1日起施行，2015年2月印发的《高等学校科学研究优秀成果奖（科学技术）奖励办法》（教技发〔2015〕1号）同时废止。</w:t>
      </w:r>
    </w:p>
    <w:p w:rsidR="0032119A" w:rsidRPr="006A09DE" w:rsidRDefault="0032119A">
      <w:bookmarkStart w:id="0" w:name="_GoBack"/>
      <w:bookmarkEnd w:id="0"/>
    </w:p>
    <w:sectPr w:rsidR="0032119A" w:rsidRPr="006A09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9D3" w:rsidRDefault="009B19D3" w:rsidP="006A09DE">
      <w:r>
        <w:separator/>
      </w:r>
    </w:p>
  </w:endnote>
  <w:endnote w:type="continuationSeparator" w:id="0">
    <w:p w:rsidR="009B19D3" w:rsidRDefault="009B19D3" w:rsidP="006A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9D3" w:rsidRDefault="009B19D3" w:rsidP="006A09DE">
      <w:r>
        <w:separator/>
      </w:r>
    </w:p>
  </w:footnote>
  <w:footnote w:type="continuationSeparator" w:id="0">
    <w:p w:rsidR="009B19D3" w:rsidRDefault="009B19D3" w:rsidP="006A09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A9"/>
    <w:rsid w:val="0032119A"/>
    <w:rsid w:val="006A09DE"/>
    <w:rsid w:val="009B19D3"/>
    <w:rsid w:val="00D22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488324-DEB9-4044-8713-853E4A25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9D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A09DE"/>
    <w:rPr>
      <w:sz w:val="18"/>
      <w:szCs w:val="18"/>
    </w:rPr>
  </w:style>
  <w:style w:type="paragraph" w:styleId="a5">
    <w:name w:val="footer"/>
    <w:basedOn w:val="a"/>
    <w:link w:val="a6"/>
    <w:uiPriority w:val="99"/>
    <w:unhideWhenUsed/>
    <w:rsid w:val="006A09DE"/>
    <w:pPr>
      <w:tabs>
        <w:tab w:val="center" w:pos="4153"/>
        <w:tab w:val="right" w:pos="8306"/>
      </w:tabs>
      <w:snapToGrid w:val="0"/>
      <w:jc w:val="left"/>
    </w:pPr>
    <w:rPr>
      <w:sz w:val="18"/>
      <w:szCs w:val="18"/>
    </w:rPr>
  </w:style>
  <w:style w:type="character" w:customStyle="1" w:styleId="a6">
    <w:name w:val="页脚 字符"/>
    <w:basedOn w:val="a0"/>
    <w:link w:val="a5"/>
    <w:uiPriority w:val="99"/>
    <w:rsid w:val="006A09DE"/>
    <w:rPr>
      <w:sz w:val="18"/>
      <w:szCs w:val="18"/>
    </w:rPr>
  </w:style>
  <w:style w:type="character" w:styleId="a7">
    <w:name w:val="Strong"/>
    <w:basedOn w:val="a0"/>
    <w:uiPriority w:val="22"/>
    <w:qFormat/>
    <w:rsid w:val="006A09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025135">
      <w:bodyDiv w:val="1"/>
      <w:marLeft w:val="0"/>
      <w:marRight w:val="0"/>
      <w:marTop w:val="0"/>
      <w:marBottom w:val="0"/>
      <w:divBdr>
        <w:top w:val="none" w:sz="0" w:space="0" w:color="auto"/>
        <w:left w:val="none" w:sz="0" w:space="0" w:color="auto"/>
        <w:bottom w:val="none" w:sz="0" w:space="0" w:color="auto"/>
        <w:right w:val="none" w:sz="0" w:space="0" w:color="auto"/>
      </w:divBdr>
      <w:divsChild>
        <w:div w:id="1009478355">
          <w:marLeft w:val="0"/>
          <w:marRight w:val="0"/>
          <w:marTop w:val="0"/>
          <w:marBottom w:val="0"/>
          <w:divBdr>
            <w:top w:val="none" w:sz="0" w:space="0" w:color="auto"/>
            <w:left w:val="none" w:sz="0" w:space="0" w:color="auto"/>
            <w:bottom w:val="none" w:sz="0" w:space="0" w:color="auto"/>
            <w:right w:val="none" w:sz="0" w:space="0" w:color="auto"/>
          </w:divBdr>
          <w:divsChild>
            <w:div w:id="1408381116">
              <w:marLeft w:val="0"/>
              <w:marRight w:val="0"/>
              <w:marTop w:val="0"/>
              <w:marBottom w:val="0"/>
              <w:divBdr>
                <w:top w:val="none" w:sz="0" w:space="0" w:color="auto"/>
                <w:left w:val="none" w:sz="0" w:space="0" w:color="auto"/>
                <w:bottom w:val="none" w:sz="0" w:space="0" w:color="auto"/>
                <w:right w:val="none" w:sz="0" w:space="0" w:color="auto"/>
              </w:divBdr>
              <w:divsChild>
                <w:div w:id="683048534">
                  <w:marLeft w:val="0"/>
                  <w:marRight w:val="0"/>
                  <w:marTop w:val="0"/>
                  <w:marBottom w:val="0"/>
                  <w:divBdr>
                    <w:top w:val="single" w:sz="6" w:space="31" w:color="BCBCBC"/>
                    <w:left w:val="single" w:sz="6" w:space="31" w:color="BCBCBC"/>
                    <w:bottom w:val="single" w:sz="6" w:space="15" w:color="BCBCBC"/>
                    <w:right w:val="single" w:sz="6" w:space="31" w:color="BCBCBC"/>
                  </w:divBdr>
                  <w:divsChild>
                    <w:div w:id="122965435">
                      <w:marLeft w:val="0"/>
                      <w:marRight w:val="0"/>
                      <w:marTop w:val="0"/>
                      <w:marBottom w:val="0"/>
                      <w:divBdr>
                        <w:top w:val="none" w:sz="0" w:space="0" w:color="auto"/>
                        <w:left w:val="none" w:sz="0" w:space="0" w:color="auto"/>
                        <w:bottom w:val="none" w:sz="0" w:space="0" w:color="auto"/>
                        <w:right w:val="none" w:sz="0" w:space="0" w:color="auto"/>
                      </w:divBdr>
                      <w:divsChild>
                        <w:div w:id="47531605">
                          <w:marLeft w:val="0"/>
                          <w:marRight w:val="0"/>
                          <w:marTop w:val="0"/>
                          <w:marBottom w:val="0"/>
                          <w:divBdr>
                            <w:top w:val="none" w:sz="0" w:space="0" w:color="auto"/>
                            <w:left w:val="none" w:sz="0" w:space="0" w:color="auto"/>
                            <w:bottom w:val="none" w:sz="0" w:space="0" w:color="auto"/>
                            <w:right w:val="none" w:sz="0" w:space="0" w:color="auto"/>
                          </w:divBdr>
                        </w:div>
                        <w:div w:id="150385794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1109</Words>
  <Characters>6326</Characters>
  <Application>Microsoft Office Word</Application>
  <DocSecurity>0</DocSecurity>
  <Lines>52</Lines>
  <Paragraphs>14</Paragraphs>
  <ScaleCrop>false</ScaleCrop>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2020-04-28T01:45:00Z</dcterms:created>
  <dcterms:modified xsi:type="dcterms:W3CDTF">2020-04-28T01:45:00Z</dcterms:modified>
</cp:coreProperties>
</file>